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F" w:rsidRPr="008757E2" w:rsidRDefault="00DE479F" w:rsidP="00DE479F">
      <w:pPr>
        <w:pStyle w:val="Tekstpodstawowy"/>
        <w:spacing w:line="280" w:lineRule="atLeast"/>
        <w:rPr>
          <w:sz w:val="22"/>
          <w:lang w:val="pl-PL"/>
        </w:rPr>
      </w:pPr>
    </w:p>
    <w:p w:rsidR="00DE479F" w:rsidRPr="008757E2" w:rsidRDefault="00DE479F" w:rsidP="00F560B5">
      <w:pPr>
        <w:pStyle w:val="Tekstpodstawowy"/>
        <w:spacing w:line="280" w:lineRule="atLeast"/>
        <w:ind w:left="284" w:right="1134" w:firstLine="283"/>
        <w:jc w:val="center"/>
        <w:rPr>
          <w:lang w:val="pl-PL"/>
        </w:rPr>
      </w:pPr>
      <w:r w:rsidRPr="008757E2">
        <w:rPr>
          <w:lang w:val="pl-PL"/>
        </w:rPr>
        <w:t>DRUK FORMULARZA GŁOSOWANIAW RAMACH KONSULTACJI PROJEKTÓW ZADAŃ ZGŁOSZONYCH DO BUDŻET</w:t>
      </w:r>
      <w:r w:rsidR="00AC3389">
        <w:rPr>
          <w:lang w:val="pl-PL"/>
        </w:rPr>
        <w:t>U OBYWATELSKIEGO W KĘDZIERZYNIE-</w:t>
      </w:r>
      <w:r w:rsidRPr="008757E2">
        <w:rPr>
          <w:lang w:val="pl-PL"/>
        </w:rPr>
        <w:t>KOŹLU</w:t>
      </w:r>
    </w:p>
    <w:p w:rsidR="00DE479F" w:rsidRPr="00AC3389" w:rsidRDefault="00DE479F" w:rsidP="00F560B5">
      <w:pPr>
        <w:pStyle w:val="Tekstpodstawowy"/>
        <w:spacing w:line="280" w:lineRule="atLeast"/>
        <w:ind w:left="471" w:right="1134"/>
        <w:jc w:val="center"/>
        <w:rPr>
          <w:b/>
          <w:lang w:val="pl-PL"/>
        </w:rPr>
      </w:pPr>
      <w:r w:rsidRPr="008757E2">
        <w:rPr>
          <w:lang w:val="pl-PL"/>
        </w:rPr>
        <w:t>W OSIEDLU</w:t>
      </w:r>
      <w:r>
        <w:rPr>
          <w:lang w:val="pl-PL"/>
        </w:rPr>
        <w:t xml:space="preserve"> </w:t>
      </w:r>
      <w:r w:rsidR="00735EA5">
        <w:rPr>
          <w:b/>
          <w:lang w:val="pl-PL"/>
        </w:rPr>
        <w:t>PIASTÓW-POWSTAŃCÓW ŚLĄSKICH</w:t>
      </w:r>
    </w:p>
    <w:p w:rsidR="00231CF8" w:rsidRDefault="00231CF8" w:rsidP="00DE479F">
      <w:pPr>
        <w:pStyle w:val="Tekstpodstawowy"/>
        <w:spacing w:line="280" w:lineRule="atLeast"/>
        <w:rPr>
          <w:lang w:val="pl-PL"/>
        </w:rPr>
      </w:pPr>
    </w:p>
    <w:p w:rsidR="00DE479F" w:rsidRPr="00AC3389" w:rsidRDefault="00DE479F" w:rsidP="00DE479F">
      <w:pPr>
        <w:pStyle w:val="Tekstpodstawowy"/>
        <w:spacing w:line="280" w:lineRule="atLeast"/>
        <w:rPr>
          <w:u w:val="dotted"/>
          <w:lang w:val="pl-PL"/>
        </w:rPr>
      </w:pPr>
      <w:r w:rsidRPr="00AC3389">
        <w:rPr>
          <w:lang w:val="pl-PL"/>
        </w:rPr>
        <w:t>IMIĘ:</w:t>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p>
    <w:p w:rsidR="00DE479F" w:rsidRPr="00AC3389" w:rsidRDefault="00DE479F" w:rsidP="00DE479F">
      <w:pPr>
        <w:pStyle w:val="Tekstpodstawowy"/>
        <w:spacing w:line="280" w:lineRule="atLeast"/>
        <w:rPr>
          <w:u w:val="dotted"/>
          <w:lang w:val="pl-PL"/>
        </w:rPr>
      </w:pPr>
      <w:r w:rsidRPr="00AC3389">
        <w:rPr>
          <w:lang w:val="pl-PL"/>
        </w:rPr>
        <w:t>NAZWISKO:</w:t>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lang w:val="pl-PL"/>
        </w:rPr>
        <w:br/>
        <w:t>DATA URODZENIA:</w:t>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p>
    <w:p w:rsidR="00DE479F" w:rsidRPr="00AC3389" w:rsidRDefault="00DE479F" w:rsidP="00DE479F">
      <w:pPr>
        <w:pStyle w:val="Tekstpodstawowy"/>
        <w:spacing w:line="280" w:lineRule="atLeast"/>
        <w:rPr>
          <w:u w:val="dotted"/>
          <w:lang w:val="pl-PL"/>
        </w:rPr>
      </w:pPr>
      <w:r w:rsidRPr="00AC3389">
        <w:rPr>
          <w:lang w:val="pl-PL"/>
        </w:rPr>
        <w:t>ADRES ZAMIESZKANIA:</w:t>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p>
    <w:p w:rsidR="00DE479F" w:rsidRPr="00AC3389" w:rsidRDefault="00DE479F" w:rsidP="00DE479F">
      <w:pPr>
        <w:pStyle w:val="Tekstpodstawowy"/>
        <w:spacing w:line="280" w:lineRule="atLeast"/>
        <w:rPr>
          <w:u w:val="dotted"/>
          <w:lang w:val="pl-PL"/>
        </w:rPr>
      </w:pPr>
      <w:r w:rsidRPr="00AC3389">
        <w:rPr>
          <w:lang w:val="pl-PL"/>
        </w:rPr>
        <w:t>DATA ODDANIA GŁOSU:</w:t>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r w:rsidRPr="00AC3389">
        <w:rPr>
          <w:u w:val="dotted"/>
          <w:lang w:val="pl-PL"/>
        </w:rPr>
        <w:tab/>
      </w:r>
    </w:p>
    <w:p w:rsidR="00DE479F" w:rsidRDefault="00DE479F" w:rsidP="00DE479F">
      <w:pPr>
        <w:pStyle w:val="Tekstpodstawowy"/>
        <w:spacing w:line="280" w:lineRule="atLeast"/>
        <w:jc w:val="center"/>
        <w:rPr>
          <w:sz w:val="18"/>
          <w:szCs w:val="18"/>
          <w:lang w:val="pl-PL"/>
        </w:rPr>
      </w:pPr>
    </w:p>
    <w:p w:rsidR="00DE479F" w:rsidRPr="008757E2" w:rsidRDefault="00DE479F" w:rsidP="00DE479F">
      <w:pPr>
        <w:pStyle w:val="Tekstpodstawowy"/>
        <w:spacing w:line="280" w:lineRule="atLeast"/>
        <w:jc w:val="center"/>
        <w:rPr>
          <w:sz w:val="18"/>
          <w:szCs w:val="18"/>
          <w:lang w:val="pl-PL"/>
        </w:rPr>
      </w:pPr>
      <w:r w:rsidRPr="008757E2">
        <w:rPr>
          <w:sz w:val="18"/>
          <w:szCs w:val="18"/>
          <w:lang w:val="pl-PL"/>
        </w:rPr>
        <w:t>(WYPEŁNIĆ DUŻYMI DRUKOWANYMI LITERAMI)</w:t>
      </w:r>
      <w:bookmarkStart w:id="0" w:name="_GoBack"/>
      <w:bookmarkEnd w:id="0"/>
    </w:p>
    <w:p w:rsidR="00DE479F" w:rsidRPr="008757E2" w:rsidRDefault="00DE479F" w:rsidP="00AC3389">
      <w:pPr>
        <w:pStyle w:val="Tekstpodstawowy"/>
        <w:spacing w:before="120" w:line="280" w:lineRule="atLeast"/>
        <w:ind w:right="85"/>
        <w:jc w:val="both"/>
        <w:rPr>
          <w:u w:color="000000"/>
          <w:lang w:val="pl-PL"/>
        </w:rPr>
      </w:pPr>
      <w:r w:rsidRPr="008757E2">
        <w:rPr>
          <w:u w:color="000000"/>
          <w:lang w:val="pl-PL"/>
        </w:rPr>
        <w:t>Oświadczam, że zamieszkuję pod wskazanym wyżej adresem.</w:t>
      </w:r>
    </w:p>
    <w:p w:rsidR="00DE479F" w:rsidRPr="00AC3389" w:rsidRDefault="00DE479F" w:rsidP="00AC3389">
      <w:pPr>
        <w:pStyle w:val="Tekstpodstawowy"/>
        <w:tabs>
          <w:tab w:val="left" w:pos="5812"/>
        </w:tabs>
        <w:spacing w:before="207" w:line="280" w:lineRule="atLeast"/>
        <w:ind w:right="3245"/>
        <w:jc w:val="center"/>
        <w:rPr>
          <w:lang w:val="pl-PL"/>
        </w:rPr>
      </w:pPr>
      <w:r>
        <w:rPr>
          <w:lang w:val="pl-PL"/>
        </w:rPr>
        <w:t xml:space="preserve">                             </w:t>
      </w:r>
      <w:r w:rsidRPr="008757E2">
        <w:rPr>
          <w:lang w:val="pl-PL"/>
        </w:rPr>
        <w:t>NAZWA I OPIS PROJEKTU ZADANIA</w:t>
      </w: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287"/>
        <w:gridCol w:w="492"/>
      </w:tblGrid>
      <w:tr w:rsidR="00DE479F" w:rsidRPr="00531E84" w:rsidTr="00C670BA">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sidRPr="00531E84">
              <w:rPr>
                <w:b/>
                <w:bCs/>
                <w:color w:val="000000"/>
                <w:szCs w:val="22"/>
              </w:rPr>
              <w:t>1.</w:t>
            </w:r>
          </w:p>
        </w:tc>
        <w:tc>
          <w:tcPr>
            <w:tcW w:w="9063" w:type="dxa"/>
            <w:tcBorders>
              <w:top w:val="single" w:sz="4" w:space="0" w:color="auto"/>
              <w:left w:val="nil"/>
              <w:bottom w:val="single" w:sz="4" w:space="0" w:color="auto"/>
              <w:right w:val="single" w:sz="4" w:space="0" w:color="auto"/>
            </w:tcBorders>
            <w:vAlign w:val="center"/>
          </w:tcPr>
          <w:p w:rsidR="00AC3389" w:rsidRDefault="00550024" w:rsidP="002B3EF7">
            <w:pPr>
              <w:rPr>
                <w:b/>
                <w:bCs/>
                <w:sz w:val="20"/>
                <w:szCs w:val="20"/>
              </w:rPr>
            </w:pPr>
            <w:r w:rsidRPr="00550024">
              <w:rPr>
                <w:b/>
                <w:bCs/>
                <w:sz w:val="20"/>
                <w:szCs w:val="20"/>
              </w:rPr>
              <w:t>Poszerzenie ścieżki rowerowej w celu udostępnienia jej dla ruchu pieszo-rowerowego - I etap</w:t>
            </w:r>
          </w:p>
          <w:p w:rsidR="00550024" w:rsidRPr="00550024" w:rsidRDefault="00550024" w:rsidP="002B3EF7">
            <w:pPr>
              <w:rPr>
                <w:b/>
                <w:bCs/>
                <w:i/>
                <w:szCs w:val="22"/>
              </w:rPr>
            </w:pPr>
            <w:r w:rsidRPr="00550024">
              <w:rPr>
                <w:rStyle w:val="Pogrubienie"/>
                <w:b w:val="0"/>
                <w:i/>
                <w:sz w:val="20"/>
                <w:szCs w:val="20"/>
              </w:rPr>
              <w:t>Projekt obejmuje poszerzenie ścieżki rowerowej na odcinku od ul. Augustyna Kośnego do ul. Bolesława Krzywoustego z aktualnych 2 m do 2,5-3m, w celu uzyskania przez nią parametrów wymaganych przepisami prawa dla ruchu pieszo-rowerowego. W wyniku sporządzenia szczegółowego opisu przedmiotu i warunków realizacji zadania, jego szacunkowa wartość może przekraczać kwotę środków przypadającą Osiedlu Piastów-Powstańców Śląskich, w związku z czym zadanie wykonywane będzie etapowo</w:t>
            </w:r>
          </w:p>
        </w:tc>
        <w:tc>
          <w:tcPr>
            <w:tcW w:w="28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9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r w:rsidR="00DE479F" w:rsidRPr="00531E84" w:rsidTr="00C670BA">
        <w:trPr>
          <w:trHeight w:val="105"/>
        </w:trPr>
        <w:tc>
          <w:tcPr>
            <w:tcW w:w="426" w:type="dxa"/>
            <w:tcBorders>
              <w:top w:val="nil"/>
              <w:left w:val="nil"/>
              <w:bottom w:val="nil"/>
              <w:right w:val="nil"/>
            </w:tcBorders>
            <w:noWrap/>
            <w:vAlign w:val="bottom"/>
          </w:tcPr>
          <w:p w:rsidR="00DE479F" w:rsidRPr="00531E84" w:rsidRDefault="00DE479F" w:rsidP="002B3EF7">
            <w:pPr>
              <w:rPr>
                <w:b/>
                <w:bCs/>
                <w:color w:val="000000"/>
                <w:szCs w:val="22"/>
              </w:rPr>
            </w:pPr>
          </w:p>
        </w:tc>
        <w:tc>
          <w:tcPr>
            <w:tcW w:w="9063" w:type="dxa"/>
            <w:tcBorders>
              <w:top w:val="nil"/>
              <w:left w:val="nil"/>
              <w:bottom w:val="nil"/>
              <w:right w:val="nil"/>
            </w:tcBorders>
            <w:noWrap/>
            <w:vAlign w:val="bottom"/>
          </w:tcPr>
          <w:p w:rsidR="00DE479F" w:rsidRPr="00531E84" w:rsidRDefault="00DE479F" w:rsidP="002B3EF7">
            <w:pPr>
              <w:rPr>
                <w:b/>
                <w:bCs/>
                <w:i/>
                <w:iCs/>
                <w:color w:val="000000"/>
                <w:szCs w:val="22"/>
              </w:rPr>
            </w:pPr>
          </w:p>
        </w:tc>
        <w:tc>
          <w:tcPr>
            <w:tcW w:w="28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92" w:type="dxa"/>
            <w:tcBorders>
              <w:top w:val="nil"/>
              <w:left w:val="nil"/>
              <w:bottom w:val="nil"/>
              <w:right w:val="nil"/>
            </w:tcBorders>
            <w:noWrap/>
            <w:vAlign w:val="bottom"/>
          </w:tcPr>
          <w:p w:rsidR="00DE479F" w:rsidRPr="00531E84" w:rsidRDefault="00DE479F" w:rsidP="002B3EF7">
            <w:pPr>
              <w:rPr>
                <w:b/>
                <w:bCs/>
                <w:color w:val="000000"/>
                <w:szCs w:val="22"/>
              </w:rPr>
            </w:pPr>
          </w:p>
        </w:tc>
      </w:tr>
      <w:tr w:rsidR="00DE479F" w:rsidRPr="00531E84" w:rsidTr="00C670BA">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sidRPr="00531E84">
              <w:rPr>
                <w:b/>
                <w:bCs/>
                <w:color w:val="000000"/>
                <w:szCs w:val="22"/>
              </w:rPr>
              <w:t>2.</w:t>
            </w:r>
          </w:p>
        </w:tc>
        <w:tc>
          <w:tcPr>
            <w:tcW w:w="9063" w:type="dxa"/>
            <w:tcBorders>
              <w:top w:val="single" w:sz="4" w:space="0" w:color="auto"/>
              <w:left w:val="nil"/>
              <w:bottom w:val="single" w:sz="4" w:space="0" w:color="auto"/>
              <w:right w:val="single" w:sz="4" w:space="0" w:color="auto"/>
            </w:tcBorders>
            <w:vAlign w:val="center"/>
          </w:tcPr>
          <w:p w:rsidR="00AC3389" w:rsidRDefault="00550024" w:rsidP="00AC3389">
            <w:pPr>
              <w:rPr>
                <w:b/>
                <w:bCs/>
                <w:sz w:val="20"/>
                <w:szCs w:val="20"/>
              </w:rPr>
            </w:pPr>
            <w:r w:rsidRPr="00550024">
              <w:rPr>
                <w:b/>
                <w:bCs/>
                <w:sz w:val="20"/>
                <w:szCs w:val="20"/>
              </w:rPr>
              <w:t>Odbudowa kortu tenisowego na osiedlu Piastów</w:t>
            </w:r>
          </w:p>
          <w:p w:rsidR="00550024" w:rsidRPr="00550024" w:rsidRDefault="00550024" w:rsidP="00550024">
            <w:pPr>
              <w:rPr>
                <w:i/>
                <w:sz w:val="20"/>
                <w:szCs w:val="20"/>
              </w:rPr>
            </w:pPr>
            <w:r w:rsidRPr="00550024">
              <w:rPr>
                <w:i/>
                <w:sz w:val="20"/>
                <w:szCs w:val="22"/>
              </w:rPr>
              <w:t xml:space="preserve">Lokalizacja: ul. </w:t>
            </w:r>
            <w:r w:rsidRPr="00550024">
              <w:rPr>
                <w:i/>
                <w:sz w:val="20"/>
                <w:szCs w:val="20"/>
              </w:rPr>
              <w:t>Leszka Białego 4 - plac betonowy pomiędzy parkingiem a placem zabaw.</w:t>
            </w:r>
          </w:p>
          <w:p w:rsidR="00550024" w:rsidRPr="00550024" w:rsidRDefault="00550024" w:rsidP="00550024">
            <w:pPr>
              <w:rPr>
                <w:b/>
                <w:bCs/>
                <w:i/>
                <w:szCs w:val="20"/>
              </w:rPr>
            </w:pPr>
            <w:r w:rsidRPr="00550024">
              <w:rPr>
                <w:i/>
                <w:sz w:val="20"/>
                <w:szCs w:val="20"/>
              </w:rPr>
              <w:t>W wyniku sporządzenia szczegółowego opisu przedmiotu i warunków realizacji zadania, jego szacunkowa wartość może przekraczać kwotę środków przypadającą Osiedlu Piastów-Powstańców Śląskich, w związku z czym zadanie wykonywane będzie etapowo.</w:t>
            </w:r>
          </w:p>
        </w:tc>
        <w:tc>
          <w:tcPr>
            <w:tcW w:w="28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9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bl>
    <w:p w:rsidR="00DE479F" w:rsidRDefault="00DE479F" w:rsidP="00DE479F">
      <w:pPr>
        <w:rPr>
          <w:szCs w:val="22"/>
        </w:rPr>
      </w:pPr>
    </w:p>
    <w:tbl>
      <w:tblPr>
        <w:tblpPr w:leftFromText="141" w:rightFromText="141" w:vertAnchor="text" w:horzAnchor="margin" w:tblpXSpec="center" w:tblpYSpec="top"/>
        <w:tblW w:w="10270" w:type="dxa"/>
        <w:tblCellMar>
          <w:left w:w="70" w:type="dxa"/>
          <w:right w:w="70" w:type="dxa"/>
        </w:tblCellMar>
        <w:tblLook w:val="0000" w:firstRow="0" w:lastRow="0" w:firstColumn="0" w:lastColumn="0" w:noHBand="0" w:noVBand="0"/>
      </w:tblPr>
      <w:tblGrid>
        <w:gridCol w:w="426"/>
        <w:gridCol w:w="9065"/>
        <w:gridCol w:w="285"/>
        <w:gridCol w:w="494"/>
      </w:tblGrid>
      <w:tr w:rsidR="00DE479F" w:rsidRPr="00531E84" w:rsidTr="00C670BA">
        <w:trPr>
          <w:trHeight w:val="557"/>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Pr>
                <w:b/>
                <w:bCs/>
                <w:color w:val="000000"/>
                <w:szCs w:val="22"/>
              </w:rPr>
              <w:t>3</w:t>
            </w:r>
            <w:r w:rsidRPr="00531E84">
              <w:rPr>
                <w:b/>
                <w:bCs/>
                <w:color w:val="000000"/>
                <w:szCs w:val="22"/>
              </w:rPr>
              <w:t>.</w:t>
            </w:r>
          </w:p>
        </w:tc>
        <w:tc>
          <w:tcPr>
            <w:tcW w:w="9065" w:type="dxa"/>
            <w:tcBorders>
              <w:top w:val="single" w:sz="4" w:space="0" w:color="auto"/>
              <w:left w:val="nil"/>
              <w:bottom w:val="single" w:sz="4" w:space="0" w:color="auto"/>
              <w:right w:val="single" w:sz="4" w:space="0" w:color="auto"/>
            </w:tcBorders>
            <w:vAlign w:val="center"/>
          </w:tcPr>
          <w:p w:rsidR="00AC3389" w:rsidRDefault="00550024" w:rsidP="00AC3389">
            <w:pPr>
              <w:rPr>
                <w:b/>
                <w:bCs/>
                <w:sz w:val="20"/>
                <w:szCs w:val="20"/>
              </w:rPr>
            </w:pPr>
            <w:r w:rsidRPr="00550024">
              <w:rPr>
                <w:b/>
                <w:bCs/>
                <w:sz w:val="20"/>
                <w:szCs w:val="20"/>
              </w:rPr>
              <w:t>Podświetlana fontanna, kamienne klomby z kwiatami i metalowymi pergolami, nasadzenia drzew i krzewów, nowe ławki, drewniane leżaki, wymiana chodnika, montaż tunelu z pergoli ze świąteczną iluminacją świetlną - rewitalizacja skweru między Publiczną Szkołą Podstawową nr 19, a blokami przy ul. Mieszka I 6 i Przemysława II 2 (ETAP I)</w:t>
            </w:r>
          </w:p>
          <w:p w:rsidR="00550024" w:rsidRPr="00550024" w:rsidRDefault="00550024" w:rsidP="00550024">
            <w:pPr>
              <w:rPr>
                <w:i/>
                <w:sz w:val="20"/>
              </w:rPr>
            </w:pPr>
            <w:r w:rsidRPr="00550024">
              <w:rPr>
                <w:i/>
                <w:sz w:val="20"/>
              </w:rPr>
              <w:t>Projekt zakłada rewitalizację skweru i całego obszaru znajdującego się między Szkolą Podstawową Numer 19, a blokami przy ul. Mieszka I 6 i Przemysława II 2</w:t>
            </w:r>
          </w:p>
          <w:p w:rsidR="00550024" w:rsidRPr="00550024" w:rsidRDefault="00550024" w:rsidP="00550024">
            <w:pPr>
              <w:rPr>
                <w:b/>
                <w:bCs/>
                <w:szCs w:val="22"/>
              </w:rPr>
            </w:pPr>
            <w:r w:rsidRPr="00550024">
              <w:rPr>
                <w:i/>
                <w:sz w:val="20"/>
                <w:szCs w:val="20"/>
              </w:rPr>
              <w:t>W wyniku sporządzenia szczegółowego opisu przedmiotu i warunków realizacji zadania, jego szacunkowa wartość może przekraczać kwotę środków przypadającą Osiedlu Piastów-Powstańców Śląskich, w związku z czym zadanie wykonywane będzie etapowo</w:t>
            </w:r>
          </w:p>
        </w:tc>
        <w:tc>
          <w:tcPr>
            <w:tcW w:w="285" w:type="dxa"/>
            <w:tcBorders>
              <w:top w:val="nil"/>
              <w:left w:val="nil"/>
              <w:bottom w:val="nil"/>
              <w:right w:val="nil"/>
            </w:tcBorders>
            <w:noWrap/>
            <w:vAlign w:val="bottom"/>
          </w:tcPr>
          <w:p w:rsidR="00DE479F" w:rsidRPr="00531E84" w:rsidRDefault="00DE479F" w:rsidP="002B3EF7">
            <w:pPr>
              <w:rPr>
                <w:b/>
                <w:bCs/>
                <w:color w:val="000000"/>
                <w:szCs w:val="22"/>
              </w:rPr>
            </w:pPr>
          </w:p>
        </w:tc>
        <w:tc>
          <w:tcPr>
            <w:tcW w:w="494"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bl>
    <w:p w:rsidR="00DE479F" w:rsidRPr="00475E1B" w:rsidRDefault="00DE479F" w:rsidP="00DE479F">
      <w:pPr>
        <w:rPr>
          <w:vanish/>
        </w:rPr>
      </w:pPr>
    </w:p>
    <w:tbl>
      <w:tblPr>
        <w:tblpPr w:leftFromText="141" w:rightFromText="141" w:vertAnchor="text" w:horzAnchor="margin" w:tblpXSpec="center" w:tblpY="89"/>
        <w:tblW w:w="10270" w:type="dxa"/>
        <w:tblCellMar>
          <w:left w:w="70" w:type="dxa"/>
          <w:right w:w="70" w:type="dxa"/>
        </w:tblCellMar>
        <w:tblLook w:val="0000" w:firstRow="0" w:lastRow="0" w:firstColumn="0" w:lastColumn="0" w:noHBand="0" w:noVBand="0"/>
      </w:tblPr>
      <w:tblGrid>
        <w:gridCol w:w="426"/>
        <w:gridCol w:w="9065"/>
        <w:gridCol w:w="285"/>
        <w:gridCol w:w="494"/>
      </w:tblGrid>
      <w:tr w:rsidR="00DE479F" w:rsidRPr="00531E84" w:rsidTr="00C670BA">
        <w:trPr>
          <w:trHeight w:val="520"/>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Pr>
                <w:b/>
                <w:bCs/>
                <w:color w:val="000000"/>
                <w:szCs w:val="22"/>
              </w:rPr>
              <w:t>4</w:t>
            </w:r>
            <w:r w:rsidRPr="00531E84">
              <w:rPr>
                <w:b/>
                <w:bCs/>
                <w:color w:val="000000"/>
                <w:szCs w:val="22"/>
              </w:rPr>
              <w:t>.</w:t>
            </w:r>
          </w:p>
        </w:tc>
        <w:tc>
          <w:tcPr>
            <w:tcW w:w="9065" w:type="dxa"/>
            <w:tcBorders>
              <w:top w:val="single" w:sz="4" w:space="0" w:color="auto"/>
              <w:left w:val="nil"/>
              <w:bottom w:val="single" w:sz="4" w:space="0" w:color="auto"/>
              <w:right w:val="single" w:sz="4" w:space="0" w:color="auto"/>
            </w:tcBorders>
            <w:vAlign w:val="center"/>
          </w:tcPr>
          <w:p w:rsidR="00AC3389" w:rsidRDefault="00550024" w:rsidP="00AC3389">
            <w:pPr>
              <w:jc w:val="left"/>
              <w:rPr>
                <w:b/>
                <w:sz w:val="20"/>
              </w:rPr>
            </w:pPr>
            <w:r w:rsidRPr="00550024">
              <w:rPr>
                <w:b/>
                <w:sz w:val="20"/>
              </w:rPr>
              <w:t>ZIELONA KLASA - przestrzeń do nauki, integracji i rekreacji (wydzielona na terenie bezpośrednio sąsiadującym z ogólnodostępną strefą fitness przy ul. Mieszka I 4)</w:t>
            </w:r>
          </w:p>
          <w:p w:rsidR="00550024" w:rsidRPr="00550024" w:rsidRDefault="00550024" w:rsidP="00550024">
            <w:pPr>
              <w:jc w:val="left"/>
              <w:rPr>
                <w:i/>
                <w:sz w:val="20"/>
              </w:rPr>
            </w:pPr>
            <w:r w:rsidRPr="00550024">
              <w:rPr>
                <w:i/>
                <w:sz w:val="20"/>
              </w:rPr>
              <w:t>Lokalizacja: teren przy Publicznej Szkole Podstawowej nr 19, ulica Mieszka I 4.</w:t>
            </w:r>
          </w:p>
          <w:p w:rsidR="00550024" w:rsidRDefault="00550024" w:rsidP="00550024">
            <w:pPr>
              <w:jc w:val="left"/>
              <w:rPr>
                <w:i/>
                <w:sz w:val="20"/>
              </w:rPr>
            </w:pPr>
            <w:r w:rsidRPr="00550024">
              <w:rPr>
                <w:i/>
                <w:sz w:val="20"/>
              </w:rPr>
              <w:t>Zgodnie z oświadczeniem trwałego zarządcy przestrzeń do nauki, integracji i rekreacji zostanie udostępniony ogółowi mieszkańców osiedla Piastów-Powstańców Śląskich, spełniając wymóg ogólnodostępności określony w § 5 załącznika do uchwały nr II/18/18 Rady Miasta Kędzierzyn-Koźle z dnia 11 grudnia  2018 roku w sprawie ustalenia zasad i trybu przeprowadzania konsultacji w ramach Budżetu Obywatelskiego w Kędzierzynie-Koźlu oraz określenia wymagań, jakie powinien spełniać projekt budżetu</w:t>
            </w:r>
          </w:p>
          <w:p w:rsidR="00231CF8" w:rsidRPr="00EA47BE" w:rsidRDefault="00231CF8" w:rsidP="00550024">
            <w:pPr>
              <w:jc w:val="left"/>
              <w:rPr>
                <w:b/>
                <w:i/>
              </w:rPr>
            </w:pPr>
            <w:r w:rsidRPr="00EA47BE">
              <w:rPr>
                <w:i/>
                <w:sz w:val="20"/>
                <w:szCs w:val="20"/>
              </w:rPr>
              <w:t>Dodatkowo teren wydzielony na potrzeby „zielonej klasy” zostanie objęty monitoringiem wewnętrznym oraz ogrodzony, w celu zabezpieczenia terenu poza godzinami otwarcia szkoły.</w:t>
            </w:r>
          </w:p>
        </w:tc>
        <w:tc>
          <w:tcPr>
            <w:tcW w:w="285" w:type="dxa"/>
            <w:tcBorders>
              <w:top w:val="nil"/>
              <w:left w:val="nil"/>
              <w:bottom w:val="nil"/>
              <w:right w:val="nil"/>
            </w:tcBorders>
            <w:noWrap/>
            <w:vAlign w:val="bottom"/>
          </w:tcPr>
          <w:p w:rsidR="00DE479F" w:rsidRPr="00531E84" w:rsidRDefault="00DE479F" w:rsidP="002B3EF7">
            <w:pPr>
              <w:rPr>
                <w:b/>
                <w:bCs/>
                <w:color w:val="000000"/>
                <w:szCs w:val="22"/>
              </w:rPr>
            </w:pPr>
          </w:p>
        </w:tc>
        <w:tc>
          <w:tcPr>
            <w:tcW w:w="494"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p>
        </w:tc>
      </w:tr>
    </w:tbl>
    <w:p w:rsidR="00AC3389" w:rsidRPr="00475E1B" w:rsidRDefault="00AC3389" w:rsidP="00AC3389">
      <w:pPr>
        <w:rPr>
          <w:vanish/>
        </w:rPr>
      </w:pPr>
    </w:p>
    <w:p w:rsidR="00DE479F" w:rsidRPr="008757E2" w:rsidRDefault="00DE479F" w:rsidP="00AC3389">
      <w:pPr>
        <w:spacing w:before="91" w:line="280" w:lineRule="atLeast"/>
        <w:rPr>
          <w:sz w:val="20"/>
        </w:rPr>
      </w:pPr>
      <w:r w:rsidRPr="008757E2">
        <w:rPr>
          <w:sz w:val="20"/>
          <w:u w:val="single"/>
        </w:rPr>
        <w:t>Objaśnienia:</w:t>
      </w:r>
    </w:p>
    <w:p w:rsidR="00DE479F" w:rsidRPr="008757E2" w:rsidRDefault="00DE479F" w:rsidP="00DE479F">
      <w:pPr>
        <w:pStyle w:val="Akapitzlist"/>
        <w:widowControl w:val="0"/>
        <w:numPr>
          <w:ilvl w:val="0"/>
          <w:numId w:val="1"/>
        </w:numPr>
        <w:tabs>
          <w:tab w:val="left" w:pos="486"/>
        </w:tabs>
        <w:autoSpaceDE w:val="0"/>
        <w:autoSpaceDN w:val="0"/>
        <w:spacing w:line="280" w:lineRule="atLeast"/>
        <w:ind w:right="232" w:firstLine="0"/>
        <w:contextualSpacing w:val="0"/>
        <w:rPr>
          <w:sz w:val="20"/>
        </w:rPr>
      </w:pPr>
      <w:r w:rsidRPr="008757E2">
        <w:rPr>
          <w:sz w:val="20"/>
        </w:rPr>
        <w:t xml:space="preserve">Oddanie głosu w konsultacjach polega na dokonaniu wyboru jednego projektu zadania z zamieszczonego wyżej wykazu poprzez postawienie znaku „x” w kratce położonej z prawej strony obok nazwy wybranego projektu </w:t>
      </w:r>
      <w:r w:rsidRPr="008757E2">
        <w:rPr>
          <w:spacing w:val="-29"/>
          <w:sz w:val="20"/>
        </w:rPr>
        <w:t xml:space="preserve"> </w:t>
      </w:r>
      <w:r w:rsidRPr="008757E2">
        <w:rPr>
          <w:sz w:val="20"/>
        </w:rPr>
        <w:t>zadania.</w:t>
      </w:r>
    </w:p>
    <w:p w:rsidR="00DE479F" w:rsidRPr="008757E2" w:rsidRDefault="00DE479F" w:rsidP="00DE479F">
      <w:pPr>
        <w:pStyle w:val="Akapitzlist"/>
        <w:widowControl w:val="0"/>
        <w:numPr>
          <w:ilvl w:val="0"/>
          <w:numId w:val="1"/>
        </w:numPr>
        <w:tabs>
          <w:tab w:val="left" w:pos="450"/>
        </w:tabs>
        <w:autoSpaceDE w:val="0"/>
        <w:autoSpaceDN w:val="0"/>
        <w:spacing w:line="280" w:lineRule="atLeast"/>
        <w:ind w:right="228" w:firstLine="0"/>
        <w:contextualSpacing w:val="0"/>
        <w:rPr>
          <w:sz w:val="20"/>
        </w:rPr>
      </w:pPr>
      <w:r w:rsidRPr="008757E2">
        <w:rPr>
          <w:sz w:val="20"/>
        </w:rPr>
        <w:t>Postawienie znaku „x” w kratkach obok nazwy więcej niż jednego projektu zadania z zamieszczonego wyżej wykazu lub niepostawienie znaku „x” w żadnej z kratek powoduje nieważność</w:t>
      </w:r>
      <w:r w:rsidRPr="008757E2">
        <w:rPr>
          <w:spacing w:val="-6"/>
          <w:sz w:val="20"/>
        </w:rPr>
        <w:t xml:space="preserve"> </w:t>
      </w:r>
      <w:r w:rsidRPr="008757E2">
        <w:rPr>
          <w:sz w:val="20"/>
        </w:rPr>
        <w:t>głosu.</w:t>
      </w:r>
    </w:p>
    <w:p w:rsidR="00DE479F" w:rsidRPr="008757E2" w:rsidRDefault="00DE479F" w:rsidP="00DE479F">
      <w:pPr>
        <w:pStyle w:val="Akapitzlist"/>
        <w:widowControl w:val="0"/>
        <w:tabs>
          <w:tab w:val="left" w:pos="438"/>
        </w:tabs>
        <w:autoSpaceDE w:val="0"/>
        <w:autoSpaceDN w:val="0"/>
        <w:spacing w:line="280" w:lineRule="atLeast"/>
        <w:ind w:left="236"/>
        <w:contextualSpacing w:val="0"/>
        <w:rPr>
          <w:sz w:val="20"/>
        </w:rPr>
      </w:pPr>
      <w:r w:rsidRPr="008757E2">
        <w:rPr>
          <w:sz w:val="20"/>
        </w:rPr>
        <w:t>3. Oddanie z zastosowaniem niniejszego formularza:</w:t>
      </w:r>
    </w:p>
    <w:p w:rsidR="00DE479F" w:rsidRPr="008757E2" w:rsidRDefault="00DE479F" w:rsidP="00DE479F">
      <w:pPr>
        <w:pStyle w:val="Akapitzlist"/>
        <w:widowControl w:val="0"/>
        <w:numPr>
          <w:ilvl w:val="0"/>
          <w:numId w:val="2"/>
        </w:numPr>
        <w:tabs>
          <w:tab w:val="left" w:pos="438"/>
        </w:tabs>
        <w:autoSpaceDE w:val="0"/>
        <w:autoSpaceDN w:val="0"/>
        <w:spacing w:line="280" w:lineRule="atLeast"/>
        <w:contextualSpacing w:val="0"/>
        <w:rPr>
          <w:sz w:val="20"/>
        </w:rPr>
      </w:pPr>
      <w:r w:rsidRPr="008757E2">
        <w:rPr>
          <w:sz w:val="20"/>
        </w:rPr>
        <w:t>głosu:</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podania imienia, nazwiska, daty urodzenia lub adresu zamieszkania</w:t>
      </w:r>
      <w:r w:rsidRPr="008757E2">
        <w:rPr>
          <w:spacing w:val="-21"/>
          <w:sz w:val="20"/>
        </w:rPr>
        <w:t xml:space="preserve"> </w:t>
      </w:r>
      <w:r w:rsidRPr="008757E2">
        <w:rPr>
          <w:sz w:val="20"/>
        </w:rPr>
        <w:t>głosującego,</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z podaniem niewłaściwego imienia, nazwiska, daty urodzenia lub</w:t>
      </w:r>
      <w:r w:rsidRPr="008757E2">
        <w:rPr>
          <w:spacing w:val="-34"/>
          <w:sz w:val="20"/>
        </w:rPr>
        <w:t xml:space="preserve"> </w:t>
      </w:r>
      <w:r w:rsidRPr="008757E2">
        <w:rPr>
          <w:sz w:val="20"/>
        </w:rPr>
        <w:t>adresu zamieszkania,</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podpisu osoby głosującej;</w:t>
      </w:r>
    </w:p>
    <w:p w:rsidR="00DE479F" w:rsidRPr="008757E2" w:rsidRDefault="00DE479F" w:rsidP="00DE479F">
      <w:pPr>
        <w:pStyle w:val="Akapitzlist"/>
        <w:widowControl w:val="0"/>
        <w:numPr>
          <w:ilvl w:val="0"/>
          <w:numId w:val="2"/>
        </w:numPr>
        <w:tabs>
          <w:tab w:val="left" w:pos="438"/>
        </w:tabs>
        <w:autoSpaceDE w:val="0"/>
        <w:autoSpaceDN w:val="0"/>
        <w:spacing w:line="280" w:lineRule="atLeast"/>
        <w:rPr>
          <w:sz w:val="20"/>
        </w:rPr>
      </w:pPr>
      <w:r w:rsidRPr="008757E2">
        <w:rPr>
          <w:sz w:val="20"/>
        </w:rPr>
        <w:t>więcej niż jednego głosu;</w:t>
      </w:r>
    </w:p>
    <w:p w:rsidR="00E714C9" w:rsidRPr="00231CF8" w:rsidRDefault="00DE479F" w:rsidP="00231CF8">
      <w:pPr>
        <w:widowControl w:val="0"/>
        <w:tabs>
          <w:tab w:val="left" w:pos="438"/>
        </w:tabs>
        <w:autoSpaceDE w:val="0"/>
        <w:autoSpaceDN w:val="0"/>
        <w:spacing w:line="280" w:lineRule="atLeast"/>
        <w:rPr>
          <w:sz w:val="20"/>
        </w:rPr>
      </w:pPr>
      <w:r w:rsidRPr="008757E2">
        <w:rPr>
          <w:sz w:val="20"/>
        </w:rPr>
        <w:t>- powoduje nieważność głosu.</w:t>
      </w:r>
    </w:p>
    <w:p w:rsidR="004D42FB" w:rsidRPr="00231CF8" w:rsidRDefault="004D42FB" w:rsidP="00DE479F">
      <w:pPr>
        <w:spacing w:line="240" w:lineRule="atLeast"/>
        <w:rPr>
          <w:rFonts w:eastAsia="Calibri"/>
          <w:b/>
          <w:bCs/>
          <w:sz w:val="18"/>
          <w:szCs w:val="16"/>
          <w:lang w:eastAsia="en-US"/>
        </w:rPr>
      </w:pPr>
      <w:r w:rsidRPr="00E1060C">
        <w:rPr>
          <w:rFonts w:eastAsia="Calibri"/>
          <w:b/>
          <w:bCs/>
          <w:sz w:val="18"/>
          <w:szCs w:val="16"/>
          <w:lang w:eastAsia="en-US"/>
        </w:rPr>
        <w:t>Uwaga: podpis osoby głosującej na str. 2/2!</w:t>
      </w:r>
    </w:p>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tr.1/2</w:t>
      </w:r>
    </w:p>
    <w:p w:rsidR="00DE479F" w:rsidRDefault="00DE479F"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DE479F" w:rsidRPr="008757E2" w:rsidRDefault="00DE479F" w:rsidP="00DE479F">
      <w:pPr>
        <w:spacing w:line="240" w:lineRule="atLeast"/>
        <w:rPr>
          <w:rFonts w:eastAsia="Calibri"/>
          <w:b/>
          <w:bCs/>
          <w:sz w:val="16"/>
          <w:szCs w:val="16"/>
          <w:lang w:eastAsia="en-US"/>
        </w:rPr>
      </w:pPr>
      <w:r w:rsidRPr="008757E2">
        <w:rPr>
          <w:rFonts w:eastAsia="Calibri"/>
          <w:b/>
          <w:bCs/>
          <w:sz w:val="16"/>
          <w:szCs w:val="16"/>
          <w:lang w:eastAsia="en-US"/>
        </w:rPr>
        <w:t xml:space="preserve">Klauzula informacyjna dotycząca przetwarzania danych osobowych podmiotów biorących udział w konsultacjach w ramach Budżetu Obywatelskiego w Kędzierzynie-Koźlu. </w:t>
      </w:r>
    </w:p>
    <w:p w:rsidR="00DE479F" w:rsidRPr="008757E2" w:rsidRDefault="00DE479F" w:rsidP="00DE479F">
      <w:pPr>
        <w:spacing w:before="120" w:line="240" w:lineRule="atLeast"/>
        <w:rPr>
          <w:rFonts w:eastAsia="Calibri"/>
          <w:sz w:val="16"/>
          <w:szCs w:val="16"/>
          <w:lang w:eastAsia="en-US"/>
        </w:rPr>
      </w:pPr>
      <w:r w:rsidRPr="008757E2">
        <w:rPr>
          <w:sz w:val="16"/>
          <w:szCs w:val="16"/>
        </w:rPr>
        <w:t xml:space="preserve">Zgodnie z </w:t>
      </w:r>
      <w:hyperlink r:id="rId7" w:history="1">
        <w:r w:rsidRPr="008757E2">
          <w:rPr>
            <w:sz w:val="16"/>
            <w:szCs w:val="16"/>
          </w:rPr>
          <w:t>art. 13 ust. 1 i ust. 2</w:t>
        </w:r>
      </w:hyperlink>
      <w:r w:rsidRPr="008757E2">
        <w:rPr>
          <w:sz w:val="16"/>
          <w:szCs w:val="16"/>
        </w:rPr>
        <w:t xml:space="preserve"> rozporządzenia Parlamentu Europejskiego i Rady (UE) </w:t>
      </w:r>
      <w:hyperlink r:id="rId8"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9" w:history="1">
        <w:r w:rsidRPr="008757E2">
          <w:rPr>
            <w:sz w:val="16"/>
            <w:szCs w:val="16"/>
          </w:rPr>
          <w:t>95/46/WE</w:t>
        </w:r>
      </w:hyperlink>
      <w:r w:rsidRPr="008757E2">
        <w:rPr>
          <w:sz w:val="16"/>
          <w:szCs w:val="16"/>
        </w:rPr>
        <w:t> , zwanego dalej „RODO”, informuje się, iż:</w:t>
      </w:r>
    </w:p>
    <w:p w:rsidR="00DE479F" w:rsidRPr="008757E2" w:rsidRDefault="00DE479F" w:rsidP="00DE479F">
      <w:pPr>
        <w:pStyle w:val="Bezodstpw"/>
        <w:spacing w:before="120" w:line="240" w:lineRule="atLeast"/>
        <w:jc w:val="both"/>
        <w:rPr>
          <w:rFonts w:ascii="Times New Roman" w:hAnsi="Times New Roman" w:cs="Times New Roman"/>
          <w:sz w:val="16"/>
          <w:szCs w:val="16"/>
        </w:rPr>
      </w:pPr>
      <w:r w:rsidRPr="008757E2">
        <w:rPr>
          <w:rFonts w:ascii="Times New Roman" w:hAnsi="Times New Roman" w:cs="Times New Roman"/>
          <w:sz w:val="16"/>
          <w:szCs w:val="16"/>
        </w:rPr>
        <w:t>1) administratorem Pani/Pana danych osobowych jest Prezydent Miasta Kędzierzyn-Koźle, z siedzibą przy ul. Grzegorza Piramowicza 32, 47-200 Kędzierzyn-Koźle, adres e-mail: prezydent@kedzierzynkozle.pl, tel. 77/40-50-338;</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2) przetwarzanie Pani/Pana danych osobowych będzie się odbywać na podstawie art. 6 ust. 1 lit. a, lit. c i lit. e </w:t>
      </w:r>
      <w:r w:rsidRPr="008757E2">
        <w:rPr>
          <w:rFonts w:ascii="Times New Roman" w:eastAsia="Calibri" w:hAnsi="Times New Roman" w:cs="Times New Roman"/>
          <w:sz w:val="16"/>
          <w:szCs w:val="16"/>
          <w:lang w:eastAsia="en-US"/>
        </w:rPr>
        <w:t>RODO,</w:t>
      </w:r>
      <w:r w:rsidRPr="008757E2">
        <w:rPr>
          <w:rFonts w:ascii="Times New Roman" w:hAnsi="Times New Roman" w:cs="Times New Roman"/>
          <w:sz w:val="16"/>
          <w:szCs w:val="16"/>
        </w:rPr>
        <w:t xml:space="preserve"> </w:t>
      </w:r>
      <w:r w:rsidRPr="008757E2">
        <w:rPr>
          <w:rFonts w:ascii="Times New Roman" w:hAnsi="Times New Roman" w:cs="Times New Roman"/>
          <w:sz w:val="16"/>
          <w:szCs w:val="16"/>
          <w:shd w:val="clear" w:color="auto" w:fill="FFFFFF"/>
        </w:rPr>
        <w:t>w celu przeprowadzenia konsultacji w 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3) </w:t>
      </w:r>
      <w:r w:rsidRPr="008757E2">
        <w:rPr>
          <w:rFonts w:ascii="Times New Roman" w:hAnsi="Times New Roman" w:cs="Times New Roman"/>
          <w:sz w:val="16"/>
        </w:rPr>
        <w:t>sposoby kontaktu z Inspektorem Ochrony Danych w Urzędzie Miasta Kędzierzyn-Koźle: adres korespondencyjny: Inspektor Ochrony Danych, Kędzierzyn-Koźle ul. Grzegorza Piramowicza 32, 47-200 Kędzierzyn-Koźle, adres e-mail: inspektor@kedzierzynkozle.pl, tel. 77/40-50-346</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4) Pani/Pana dane osobowe będą przechowywane, po zakończeniu konsultacji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 xml:space="preserve">  przez okres przewidziany prawem dla  kategorii archiwalnej 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6) przysługuje Pani/Panu prawo wniesienia skargi do organu nadzorczego, jeśli Pani/Pana zdaniem, przetwarzanie danych osobowych Pani/Pana - narusza przepisy RODO;</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7) podanie przez Panią/Pana danych osobowych jest dobrowolne; brak podania danych osobowych skutkuje odmową udziału w konsultacjach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8) Pani/Pana dane osobowe mogą być przekazywane innym odbiorcom danych w przypadkach przewidzianych w obowiązujących przepisach prawa (w tym organom kontroli i ochrony prawa);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9) Pani/Pana dane osobowe nie będą przetwarzane w sposób zautomatyzowany i nie będą profilowane.”</w:t>
      </w:r>
    </w:p>
    <w:p w:rsidR="00DE479F" w:rsidRPr="008757E2" w:rsidRDefault="00DE479F" w:rsidP="00DE479F">
      <w:pPr>
        <w:spacing w:before="120" w:after="120"/>
        <w:rPr>
          <w:sz w:val="16"/>
          <w:szCs w:val="16"/>
        </w:rPr>
      </w:pPr>
      <w:r w:rsidRPr="008757E2">
        <w:rPr>
          <w:sz w:val="16"/>
          <w:szCs w:val="16"/>
        </w:rPr>
        <w:t xml:space="preserve">Potwierdzam, iż zapoznałam/em się z klauzulą informacyjną RODO dotyczącą praw i obowiązków </w:t>
      </w:r>
      <w:r w:rsidRPr="008757E2">
        <w:rPr>
          <w:rFonts w:eastAsia="Calibri"/>
          <w:iCs/>
          <w:sz w:val="16"/>
          <w:szCs w:val="16"/>
          <w:lang w:eastAsia="en-US"/>
        </w:rPr>
        <w:t>związanych z przetwarzaniem podanych przeze mnie danych osobowych i w</w:t>
      </w:r>
      <w:r w:rsidRPr="008757E2">
        <w:rPr>
          <w:rFonts w:eastAsia="Calibri"/>
          <w:sz w:val="16"/>
          <w:szCs w:val="16"/>
          <w:lang w:eastAsia="en-US"/>
        </w:rPr>
        <w:t xml:space="preserve">yrażam zgodę na  przetwarzanie podanych przeze mnie moich danych osobowych przez Prezydenta Miasta Kędzierzyn-Koźle, ul. Grzegorza Piramowicza 32, 47-200 Kędzierzyn-Koźle </w:t>
      </w:r>
      <w:r w:rsidRPr="008757E2">
        <w:rPr>
          <w:sz w:val="16"/>
          <w:szCs w:val="16"/>
        </w:rPr>
        <w:t xml:space="preserve">zgodnie z przepisami rozporządzenia Parlamentu Europejskiego i Rady (UE) </w:t>
      </w:r>
      <w:hyperlink r:id="rId10"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11" w:history="1">
        <w:r w:rsidRPr="008757E2">
          <w:rPr>
            <w:sz w:val="16"/>
            <w:szCs w:val="16"/>
          </w:rPr>
          <w:t>95/46/WE</w:t>
        </w:r>
      </w:hyperlink>
      <w:r w:rsidRPr="008757E2">
        <w:rPr>
          <w:rFonts w:eastAsia="Calibri"/>
          <w:sz w:val="16"/>
          <w:szCs w:val="16"/>
          <w:lang w:eastAsia="en-US"/>
        </w:rPr>
        <w:t xml:space="preserve">, </w:t>
      </w:r>
      <w:r w:rsidRPr="008757E2">
        <w:rPr>
          <w:sz w:val="16"/>
          <w:szCs w:val="16"/>
          <w:shd w:val="clear" w:color="auto" w:fill="FFFFFF"/>
        </w:rPr>
        <w:t xml:space="preserve">w celu przeprowadzenia konsultacji w ramach Budżetu Obywatelskiego w Kędzierzynie-Koźlu. </w:t>
      </w:r>
    </w:p>
    <w:p w:rsidR="00DE479F" w:rsidRPr="008757E2" w:rsidRDefault="00DE479F" w:rsidP="00DE479F">
      <w:pPr>
        <w:rPr>
          <w:sz w:val="16"/>
          <w:szCs w:val="16"/>
        </w:rPr>
      </w:pPr>
      <w:r w:rsidRPr="008757E2">
        <w:rPr>
          <w:sz w:val="16"/>
          <w:szCs w:val="16"/>
          <w:shd w:val="clear" w:color="auto" w:fill="FFFFFF"/>
        </w:rPr>
        <w:t xml:space="preserve">Wyrażam zgodę na  przechowywanie </w:t>
      </w:r>
      <w:r w:rsidRPr="008757E2">
        <w:rPr>
          <w:rFonts w:eastAsia="Calibri"/>
          <w:sz w:val="16"/>
          <w:szCs w:val="16"/>
          <w:lang w:eastAsia="en-US"/>
        </w:rPr>
        <w:t>przez Prezydenta Miasta Kędzierzyn-Koźle</w:t>
      </w:r>
      <w:r w:rsidRPr="008757E2">
        <w:rPr>
          <w:sz w:val="16"/>
          <w:szCs w:val="16"/>
          <w:shd w:val="clear" w:color="auto" w:fill="FFFFFF"/>
        </w:rPr>
        <w:t xml:space="preserve"> podanych przeze mnie </w:t>
      </w:r>
      <w:r w:rsidRPr="008757E2">
        <w:rPr>
          <w:sz w:val="16"/>
          <w:szCs w:val="16"/>
        </w:rPr>
        <w:t xml:space="preserve">danych osobowych,  po zakończeniu konsultacji w </w:t>
      </w:r>
      <w:r w:rsidRPr="008757E2">
        <w:rPr>
          <w:sz w:val="16"/>
          <w:szCs w:val="16"/>
          <w:shd w:val="clear" w:color="auto" w:fill="FFFFFF"/>
        </w:rPr>
        <w:t>ramach Budżetu Obywatelskiego w Kędzierzynie-Koźlu</w:t>
      </w:r>
      <w:r w:rsidRPr="008757E2">
        <w:rPr>
          <w:sz w:val="16"/>
          <w:szCs w:val="16"/>
        </w:rPr>
        <w:t xml:space="preserve">  przez okres przewidziany prawem dla  kategorii archiwalnej A.</w:t>
      </w:r>
    </w:p>
    <w:p w:rsidR="00DE479F" w:rsidRPr="00407B47" w:rsidRDefault="00DE479F" w:rsidP="00DE479F">
      <w:pPr>
        <w:rPr>
          <w:color w:val="000000" w:themeColor="text1"/>
          <w:sz w:val="16"/>
          <w:szCs w:val="16"/>
        </w:rPr>
      </w:pPr>
    </w:p>
    <w:p w:rsidR="00DE479F" w:rsidRPr="00407B47" w:rsidRDefault="00DE479F" w:rsidP="00DE479F">
      <w:pPr>
        <w:spacing w:line="240" w:lineRule="atLeast"/>
        <w:ind w:left="5760" w:firstLine="720"/>
        <w:rPr>
          <w:rFonts w:eastAsia="Calibri"/>
          <w:color w:val="000000" w:themeColor="text1"/>
          <w:sz w:val="16"/>
          <w:szCs w:val="16"/>
          <w:lang w:eastAsia="en-US"/>
        </w:rPr>
      </w:pPr>
    </w:p>
    <w:p w:rsidR="00DE479F" w:rsidRPr="00407B47" w:rsidRDefault="00DE479F" w:rsidP="00DE479F">
      <w:pPr>
        <w:spacing w:line="240" w:lineRule="atLeast"/>
        <w:ind w:left="5760" w:firstLine="720"/>
        <w:rPr>
          <w:rFonts w:eastAsia="Calibri"/>
          <w:color w:val="000000" w:themeColor="text1"/>
          <w:sz w:val="16"/>
          <w:szCs w:val="16"/>
          <w:lang w:eastAsia="en-US"/>
        </w:rPr>
      </w:pPr>
      <w:r w:rsidRPr="00407B47">
        <w:rPr>
          <w:rFonts w:eastAsia="Calibri"/>
          <w:color w:val="000000" w:themeColor="text1"/>
          <w:sz w:val="16"/>
          <w:szCs w:val="16"/>
          <w:lang w:eastAsia="en-US"/>
        </w:rPr>
        <w:t>…………………………………</w:t>
      </w:r>
    </w:p>
    <w:p w:rsidR="00DE479F" w:rsidRPr="00407B47" w:rsidRDefault="00DE479F" w:rsidP="00DE479F">
      <w:pPr>
        <w:spacing w:line="240" w:lineRule="atLeast"/>
        <w:rPr>
          <w:rFonts w:eastAsia="Calibri"/>
          <w:color w:val="000000" w:themeColor="text1"/>
          <w:sz w:val="24"/>
          <w:lang w:eastAsia="en-US"/>
        </w:rPr>
      </w:pP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 </w:t>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(podpis) </w:t>
      </w:r>
    </w:p>
    <w:p w:rsidR="003D42AE" w:rsidRDefault="003D42AE"/>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w:t>
      </w:r>
      <w:r>
        <w:rPr>
          <w:rFonts w:eastAsia="Calibri"/>
          <w:bCs/>
          <w:sz w:val="16"/>
          <w:szCs w:val="16"/>
          <w:lang w:eastAsia="en-US"/>
        </w:rPr>
        <w:t>2</w:t>
      </w:r>
      <w:r w:rsidRPr="004D42FB">
        <w:rPr>
          <w:rFonts w:eastAsia="Calibri"/>
          <w:bCs/>
          <w:sz w:val="16"/>
          <w:szCs w:val="16"/>
          <w:lang w:eastAsia="en-US"/>
        </w:rPr>
        <w:t>/2</w:t>
      </w:r>
    </w:p>
    <w:p w:rsidR="004D42FB" w:rsidRDefault="004D42FB"/>
    <w:sectPr w:rsidR="004D42FB" w:rsidSect="00550024">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AFB" w:rsidRDefault="005D3AFB" w:rsidP="004D42FB">
      <w:r>
        <w:separator/>
      </w:r>
    </w:p>
  </w:endnote>
  <w:endnote w:type="continuationSeparator" w:id="0">
    <w:p w:rsidR="005D3AFB" w:rsidRDefault="005D3AFB" w:rsidP="004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AFB" w:rsidRDefault="005D3AFB" w:rsidP="004D42FB">
      <w:r>
        <w:separator/>
      </w:r>
    </w:p>
  </w:footnote>
  <w:footnote w:type="continuationSeparator" w:id="0">
    <w:p w:rsidR="005D3AFB" w:rsidRDefault="005D3AFB" w:rsidP="004D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D89"/>
    <w:multiLevelType w:val="hybridMultilevel"/>
    <w:tmpl w:val="395A9A9C"/>
    <w:lvl w:ilvl="0" w:tplc="EE223464">
      <w:start w:val="1"/>
      <w:numFmt w:val="decimal"/>
      <w:lvlText w:val="%1."/>
      <w:lvlJc w:val="left"/>
      <w:pPr>
        <w:ind w:left="236" w:hanging="250"/>
      </w:pPr>
      <w:rPr>
        <w:rFonts w:ascii="Times New Roman" w:eastAsia="Times New Roman" w:hAnsi="Times New Roman" w:cs="Times New Roman" w:hint="default"/>
        <w:spacing w:val="0"/>
        <w:w w:val="99"/>
        <w:sz w:val="20"/>
        <w:szCs w:val="20"/>
      </w:rPr>
    </w:lvl>
    <w:lvl w:ilvl="1" w:tplc="48CAFD30">
      <w:numFmt w:val="bullet"/>
      <w:lvlText w:val="•"/>
      <w:lvlJc w:val="left"/>
      <w:pPr>
        <w:ind w:left="1170" w:hanging="250"/>
      </w:pPr>
      <w:rPr>
        <w:rFonts w:hint="default"/>
      </w:rPr>
    </w:lvl>
    <w:lvl w:ilvl="2" w:tplc="A352F038">
      <w:numFmt w:val="bullet"/>
      <w:lvlText w:val="•"/>
      <w:lvlJc w:val="left"/>
      <w:pPr>
        <w:ind w:left="2100" w:hanging="250"/>
      </w:pPr>
      <w:rPr>
        <w:rFonts w:hint="default"/>
      </w:rPr>
    </w:lvl>
    <w:lvl w:ilvl="3" w:tplc="4B1A9CE6">
      <w:numFmt w:val="bullet"/>
      <w:lvlText w:val="•"/>
      <w:lvlJc w:val="left"/>
      <w:pPr>
        <w:ind w:left="3030" w:hanging="250"/>
      </w:pPr>
      <w:rPr>
        <w:rFonts w:hint="default"/>
      </w:rPr>
    </w:lvl>
    <w:lvl w:ilvl="4" w:tplc="D0F00DF0">
      <w:numFmt w:val="bullet"/>
      <w:lvlText w:val="•"/>
      <w:lvlJc w:val="left"/>
      <w:pPr>
        <w:ind w:left="3960" w:hanging="250"/>
      </w:pPr>
      <w:rPr>
        <w:rFonts w:hint="default"/>
      </w:rPr>
    </w:lvl>
    <w:lvl w:ilvl="5" w:tplc="2D6A89A2">
      <w:numFmt w:val="bullet"/>
      <w:lvlText w:val="•"/>
      <w:lvlJc w:val="left"/>
      <w:pPr>
        <w:ind w:left="4890" w:hanging="250"/>
      </w:pPr>
      <w:rPr>
        <w:rFonts w:hint="default"/>
      </w:rPr>
    </w:lvl>
    <w:lvl w:ilvl="6" w:tplc="8D98812A">
      <w:numFmt w:val="bullet"/>
      <w:lvlText w:val="•"/>
      <w:lvlJc w:val="left"/>
      <w:pPr>
        <w:ind w:left="5820" w:hanging="250"/>
      </w:pPr>
      <w:rPr>
        <w:rFonts w:hint="default"/>
      </w:rPr>
    </w:lvl>
    <w:lvl w:ilvl="7" w:tplc="A894C4B4">
      <w:numFmt w:val="bullet"/>
      <w:lvlText w:val="•"/>
      <w:lvlJc w:val="left"/>
      <w:pPr>
        <w:ind w:left="6750" w:hanging="250"/>
      </w:pPr>
      <w:rPr>
        <w:rFonts w:hint="default"/>
      </w:rPr>
    </w:lvl>
    <w:lvl w:ilvl="8" w:tplc="D92889FC">
      <w:numFmt w:val="bullet"/>
      <w:lvlText w:val="•"/>
      <w:lvlJc w:val="left"/>
      <w:pPr>
        <w:ind w:left="7680" w:hanging="250"/>
      </w:pPr>
      <w:rPr>
        <w:rFonts w:hint="default"/>
      </w:rPr>
    </w:lvl>
  </w:abstractNum>
  <w:abstractNum w:abstractNumId="1" w15:restartNumberingAfterBreak="0">
    <w:nsid w:val="5C520219"/>
    <w:multiLevelType w:val="hybridMultilevel"/>
    <w:tmpl w:val="DC24F5CE"/>
    <w:lvl w:ilvl="0" w:tplc="EFC04254">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 w15:restartNumberingAfterBreak="0">
    <w:nsid w:val="76376A89"/>
    <w:multiLevelType w:val="hybridMultilevel"/>
    <w:tmpl w:val="DEEA412C"/>
    <w:lvl w:ilvl="0" w:tplc="BB0EA10C">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F"/>
    <w:rsid w:val="0016284E"/>
    <w:rsid w:val="00172148"/>
    <w:rsid w:val="00231CF8"/>
    <w:rsid w:val="003A1E07"/>
    <w:rsid w:val="003D42AE"/>
    <w:rsid w:val="004D42FB"/>
    <w:rsid w:val="0051414C"/>
    <w:rsid w:val="00550024"/>
    <w:rsid w:val="005D3AFB"/>
    <w:rsid w:val="006A6F7A"/>
    <w:rsid w:val="00735EA5"/>
    <w:rsid w:val="00826016"/>
    <w:rsid w:val="00851301"/>
    <w:rsid w:val="00A24E00"/>
    <w:rsid w:val="00AC3389"/>
    <w:rsid w:val="00B459A3"/>
    <w:rsid w:val="00BC3705"/>
    <w:rsid w:val="00C670BA"/>
    <w:rsid w:val="00CC2BDA"/>
    <w:rsid w:val="00D90ABE"/>
    <w:rsid w:val="00DE479F"/>
    <w:rsid w:val="00E1060C"/>
    <w:rsid w:val="00E714C9"/>
    <w:rsid w:val="00EA47BE"/>
    <w:rsid w:val="00F560B5"/>
    <w:rsid w:val="00F8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43D08-2268-44E3-B9BA-B1D5C14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F"/>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479F"/>
    <w:pPr>
      <w:ind w:left="720"/>
      <w:contextualSpacing/>
    </w:pPr>
  </w:style>
  <w:style w:type="paragraph" w:styleId="Tekstpodstawowy">
    <w:name w:val="Body Text"/>
    <w:basedOn w:val="Normalny"/>
    <w:link w:val="TekstpodstawowyZnak"/>
    <w:uiPriority w:val="1"/>
    <w:qFormat/>
    <w:rsid w:val="00DE479F"/>
    <w:pPr>
      <w:widowControl w:val="0"/>
      <w:autoSpaceDE w:val="0"/>
      <w:autoSpaceDN w:val="0"/>
      <w:jc w:val="left"/>
    </w:pPr>
    <w:rPr>
      <w:sz w:val="24"/>
      <w:lang w:val="en-US" w:eastAsia="en-US" w:bidi="ar-SA"/>
    </w:rPr>
  </w:style>
  <w:style w:type="character" w:customStyle="1" w:styleId="TekstpodstawowyZnak">
    <w:name w:val="Tekst podstawowy Znak"/>
    <w:basedOn w:val="Domylnaczcionkaakapitu"/>
    <w:link w:val="Tekstpodstawowy"/>
    <w:uiPriority w:val="1"/>
    <w:rsid w:val="00DE479F"/>
    <w:rPr>
      <w:rFonts w:ascii="Times New Roman" w:eastAsia="Times New Roman" w:hAnsi="Times New Roman" w:cs="Times New Roman"/>
      <w:sz w:val="24"/>
      <w:szCs w:val="24"/>
      <w:lang w:val="en-US"/>
    </w:rPr>
  </w:style>
  <w:style w:type="paragraph" w:styleId="Bezodstpw">
    <w:name w:val="No Spacing"/>
    <w:uiPriority w:val="1"/>
    <w:qFormat/>
    <w:rsid w:val="00DE479F"/>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paragraph" w:styleId="Tekstdymka">
    <w:name w:val="Balloon Text"/>
    <w:basedOn w:val="Normalny"/>
    <w:link w:val="TekstdymkaZnak"/>
    <w:uiPriority w:val="99"/>
    <w:semiHidden/>
    <w:unhideWhenUsed/>
    <w:rsid w:val="008260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16"/>
    <w:rPr>
      <w:rFonts w:ascii="Segoe UI" w:eastAsia="Times New Roman" w:hAnsi="Segoe UI" w:cs="Segoe UI"/>
      <w:sz w:val="18"/>
      <w:szCs w:val="18"/>
      <w:lang w:eastAsia="pl-PL" w:bidi="pl-PL"/>
    </w:rPr>
  </w:style>
  <w:style w:type="paragraph" w:styleId="Nagwek">
    <w:name w:val="header"/>
    <w:basedOn w:val="Normalny"/>
    <w:link w:val="NagwekZnak"/>
    <w:uiPriority w:val="99"/>
    <w:unhideWhenUsed/>
    <w:rsid w:val="004D42FB"/>
    <w:pPr>
      <w:tabs>
        <w:tab w:val="center" w:pos="4536"/>
        <w:tab w:val="right" w:pos="9072"/>
      </w:tabs>
    </w:pPr>
  </w:style>
  <w:style w:type="character" w:customStyle="1" w:styleId="NagwekZnak">
    <w:name w:val="Nagłówek Znak"/>
    <w:basedOn w:val="Domylnaczcionkaakapitu"/>
    <w:link w:val="Nagwek"/>
    <w:uiPriority w:val="99"/>
    <w:rsid w:val="004D42F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4D42FB"/>
    <w:pPr>
      <w:tabs>
        <w:tab w:val="center" w:pos="4536"/>
        <w:tab w:val="right" w:pos="9072"/>
      </w:tabs>
    </w:pPr>
  </w:style>
  <w:style w:type="character" w:customStyle="1" w:styleId="StopkaZnak">
    <w:name w:val="Stopka Znak"/>
    <w:basedOn w:val="Domylnaczcionkaakapitu"/>
    <w:link w:val="Stopka"/>
    <w:uiPriority w:val="99"/>
    <w:rsid w:val="004D42FB"/>
    <w:rPr>
      <w:rFonts w:ascii="Times New Roman" w:eastAsia="Times New Roman" w:hAnsi="Times New Roman" w:cs="Times New Roman"/>
      <w:szCs w:val="24"/>
      <w:lang w:eastAsia="pl-PL" w:bidi="pl-PL"/>
    </w:rPr>
  </w:style>
  <w:style w:type="character" w:styleId="Pogrubienie">
    <w:name w:val="Strong"/>
    <w:uiPriority w:val="22"/>
    <w:qFormat/>
    <w:rsid w:val="00AC3389"/>
    <w:rPr>
      <w:b/>
      <w:bCs/>
    </w:rPr>
  </w:style>
  <w:style w:type="paragraph" w:styleId="NormalnyWeb">
    <w:name w:val="Normal (Web)"/>
    <w:basedOn w:val="Normalny"/>
    <w:uiPriority w:val="99"/>
    <w:unhideWhenUsed/>
    <w:rsid w:val="00AC3389"/>
    <w:pPr>
      <w:spacing w:before="100" w:beforeAutospacing="1" w:after="100" w:afterAutospacing="1"/>
      <w:jc w:val="left"/>
    </w:pPr>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1084</Words>
  <Characters>6510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dc:description/>
  <cp:lastModifiedBy>hspychaj</cp:lastModifiedBy>
  <cp:revision>11</cp:revision>
  <cp:lastPrinted>2025-07-23T12:06:00Z</cp:lastPrinted>
  <dcterms:created xsi:type="dcterms:W3CDTF">2023-07-21T07:00:00Z</dcterms:created>
  <dcterms:modified xsi:type="dcterms:W3CDTF">2025-07-30T07:16:00Z</dcterms:modified>
</cp:coreProperties>
</file>